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DC" w:rsidRDefault="00A179DC" w:rsidP="00A179DC">
      <w:pPr>
        <w:spacing w:line="400" w:lineRule="exact"/>
        <w:jc w:val="both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A446AA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經濟部貿易調查委員會 新聞稿附件</w:t>
      </w:r>
      <w:r w:rsidR="003570A3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2</w:t>
      </w:r>
    </w:p>
    <w:p w:rsidR="00A446AA" w:rsidRPr="00A446AA" w:rsidRDefault="00A446AA" w:rsidP="00A446AA">
      <w:pPr>
        <w:spacing w:line="240" w:lineRule="exact"/>
        <w:jc w:val="both"/>
        <w:rPr>
          <w:rFonts w:ascii="標楷體" w:eastAsia="標楷體" w:hAnsi="標楷體"/>
          <w:sz w:val="32"/>
          <w:szCs w:val="32"/>
        </w:rPr>
      </w:pPr>
    </w:p>
    <w:p w:rsidR="003F5049" w:rsidRPr="00333A23" w:rsidRDefault="00152E42" w:rsidP="00333A23">
      <w:pPr>
        <w:pStyle w:val="a3"/>
        <w:spacing w:beforeLines="50" w:line="400" w:lineRule="exact"/>
        <w:ind w:leftChars="0" w:left="720"/>
        <w:jc w:val="center"/>
        <w:rPr>
          <w:rFonts w:ascii="標楷體" w:eastAsia="標楷體" w:hAnsi="標楷體"/>
          <w:b/>
          <w:sz w:val="32"/>
          <w:szCs w:val="32"/>
        </w:rPr>
      </w:pPr>
      <w:r w:rsidRPr="00333A23">
        <w:rPr>
          <w:rFonts w:ascii="標楷體" w:eastAsia="標楷體" w:hAnsi="標楷體" w:hint="eastAsia"/>
          <w:b/>
          <w:sz w:val="32"/>
          <w:szCs w:val="32"/>
        </w:rPr>
        <w:t>鍍鋅鋼品反傾銷稅案產業損害初步認定之理由</w:t>
      </w:r>
    </w:p>
    <w:p w:rsidR="00A179DC" w:rsidRDefault="00A179DC" w:rsidP="00152E42">
      <w:pPr>
        <w:pStyle w:val="a3"/>
        <w:spacing w:line="400" w:lineRule="exact"/>
        <w:ind w:leftChars="0" w:left="728"/>
        <w:jc w:val="both"/>
        <w:rPr>
          <w:rFonts w:ascii="標楷體" w:eastAsia="標楷體" w:hAnsi="標楷體"/>
          <w:color w:val="7F7F7F" w:themeColor="text1" w:themeTint="80"/>
          <w:sz w:val="28"/>
          <w:szCs w:val="28"/>
        </w:rPr>
      </w:pPr>
    </w:p>
    <w:p w:rsidR="00152E42" w:rsidRDefault="00152E42" w:rsidP="000F2F13">
      <w:pPr>
        <w:widowControl/>
        <w:snapToGrid w:val="0"/>
        <w:spacing w:line="480" w:lineRule="exact"/>
        <w:ind w:firstLineChars="221" w:firstLine="707"/>
        <w:jc w:val="both"/>
        <w:rPr>
          <w:rFonts w:ascii="標楷體" w:eastAsia="標楷體" w:hAnsi="標楷體" w:cs="新細明體"/>
          <w:sz w:val="32"/>
          <w:szCs w:val="32"/>
        </w:rPr>
      </w:pPr>
      <w:proofErr w:type="gramStart"/>
      <w:r w:rsidRPr="00152E42">
        <w:rPr>
          <w:rFonts w:ascii="標楷體" w:eastAsia="標楷體" w:hAnsi="標楷體" w:cs="新細明體" w:hint="eastAsia"/>
          <w:sz w:val="32"/>
          <w:szCs w:val="32"/>
        </w:rPr>
        <w:t>經濟部貿調會</w:t>
      </w:r>
      <w:proofErr w:type="gramEnd"/>
      <w:r w:rsidRPr="00152E42">
        <w:rPr>
          <w:rFonts w:ascii="標楷體" w:eastAsia="標楷體" w:hAnsi="標楷體" w:cs="新細明體" w:hint="eastAsia"/>
          <w:sz w:val="32"/>
          <w:szCs w:val="32"/>
        </w:rPr>
        <w:t>就「中國鋼鐵股份有限公司、燁輝企業股份有限公司、</w:t>
      </w:r>
      <w:proofErr w:type="gramStart"/>
      <w:r w:rsidRPr="00152E42">
        <w:rPr>
          <w:rFonts w:ascii="標楷體" w:eastAsia="標楷體" w:hAnsi="標楷體" w:cs="新細明體" w:hint="eastAsia"/>
          <w:sz w:val="32"/>
          <w:szCs w:val="32"/>
        </w:rPr>
        <w:t>裕鐵企業</w:t>
      </w:r>
      <w:proofErr w:type="gramEnd"/>
      <w:r w:rsidRPr="00152E42">
        <w:rPr>
          <w:rFonts w:ascii="標楷體" w:eastAsia="標楷體" w:hAnsi="標楷體" w:cs="新細明體" w:hint="eastAsia"/>
          <w:sz w:val="32"/>
          <w:szCs w:val="32"/>
        </w:rPr>
        <w:t>股份有限公司、盛餘股份有限公司、中鴻鋼鐵股份有限公司</w:t>
      </w:r>
      <w:proofErr w:type="gramStart"/>
      <w:r w:rsidRPr="00152E42">
        <w:rPr>
          <w:rFonts w:ascii="標楷體" w:eastAsia="標楷體" w:hAnsi="標楷體" w:cs="新細明體" w:hint="eastAsia"/>
          <w:sz w:val="32"/>
          <w:szCs w:val="32"/>
        </w:rPr>
        <w:t>及欣建工業</w:t>
      </w:r>
      <w:proofErr w:type="gramEnd"/>
      <w:r w:rsidRPr="00152E42">
        <w:rPr>
          <w:rFonts w:ascii="標楷體" w:eastAsia="標楷體" w:hAnsi="標楷體" w:cs="新細明體" w:hint="eastAsia"/>
          <w:sz w:val="32"/>
          <w:szCs w:val="32"/>
        </w:rPr>
        <w:t>股份有限公司等6家公司申請對自中國大陸及韓國產製進口特定鍍鋅、鋅合金</w:t>
      </w:r>
      <w:proofErr w:type="gramStart"/>
      <w:r w:rsidRPr="00152E42">
        <w:rPr>
          <w:rFonts w:ascii="標楷體" w:eastAsia="標楷體" w:hAnsi="標楷體" w:cs="新細明體" w:hint="eastAsia"/>
          <w:sz w:val="32"/>
          <w:szCs w:val="32"/>
        </w:rPr>
        <w:t>扁</w:t>
      </w:r>
      <w:proofErr w:type="gramEnd"/>
      <w:r w:rsidRPr="00152E42">
        <w:rPr>
          <w:rFonts w:ascii="標楷體" w:eastAsia="標楷體" w:hAnsi="標楷體" w:cs="新細明體" w:hint="eastAsia"/>
          <w:sz w:val="32"/>
          <w:szCs w:val="32"/>
        </w:rPr>
        <w:t>軋鋼品課徵反傾銷稅、臨時課徵反傾銷稅暨回溯課徵反傾銷稅案」初步認定</w:t>
      </w:r>
      <w:r w:rsidR="000F2F13" w:rsidRPr="00201A1C">
        <w:rPr>
          <w:rFonts w:ascii="標楷體" w:eastAsia="標楷體" w:hAnsi="標楷體" w:hint="eastAsia"/>
          <w:sz w:val="32"/>
          <w:szCs w:val="32"/>
        </w:rPr>
        <w:t>有合理跡象顯示</w:t>
      </w:r>
      <w:r w:rsidR="000F2F13">
        <w:rPr>
          <w:rFonts w:ascii="標楷體" w:eastAsia="標楷體" w:hAnsi="標楷體" w:hint="eastAsia"/>
          <w:sz w:val="32"/>
          <w:szCs w:val="32"/>
        </w:rPr>
        <w:t>涉案</w:t>
      </w:r>
      <w:r w:rsidR="000F2F13" w:rsidRPr="00201A1C">
        <w:rPr>
          <w:rFonts w:ascii="標楷體" w:eastAsia="標楷體" w:hAnsi="標楷體"/>
          <w:sz w:val="32"/>
          <w:szCs w:val="32"/>
        </w:rPr>
        <w:t>傾銷進口</w:t>
      </w:r>
      <w:r w:rsidR="000F2F13" w:rsidRPr="00201A1C">
        <w:rPr>
          <w:rFonts w:ascii="標楷體" w:eastAsia="標楷體" w:hAnsi="標楷體" w:hint="eastAsia"/>
          <w:sz w:val="32"/>
          <w:szCs w:val="32"/>
        </w:rPr>
        <w:t>產品</w:t>
      </w:r>
      <w:r w:rsidR="000F2F13" w:rsidRPr="00201A1C">
        <w:rPr>
          <w:rFonts w:ascii="標楷體" w:eastAsia="標楷體" w:hAnsi="標楷體"/>
          <w:sz w:val="32"/>
          <w:szCs w:val="32"/>
        </w:rPr>
        <w:t>已對國內產業造成實質損害</w:t>
      </w:r>
      <w:r w:rsidR="000F2F13">
        <w:rPr>
          <w:rFonts w:ascii="標楷體" w:eastAsia="標楷體" w:hAnsi="標楷體" w:cs="新細明體" w:hint="eastAsia"/>
          <w:sz w:val="32"/>
          <w:szCs w:val="32"/>
        </w:rPr>
        <w:t>之理由如下：</w:t>
      </w:r>
    </w:p>
    <w:p w:rsidR="00152E42" w:rsidRDefault="00152E42" w:rsidP="00152E42">
      <w:pPr>
        <w:pStyle w:val="2"/>
        <w:numPr>
          <w:ilvl w:val="0"/>
          <w:numId w:val="11"/>
        </w:numPr>
        <w:snapToGrid w:val="0"/>
        <w:spacing w:line="480" w:lineRule="exact"/>
        <w:ind w:leftChars="0" w:firstLineChars="0"/>
        <w:jc w:val="both"/>
      </w:pPr>
      <w:r w:rsidRPr="00BA3652">
        <w:rPr>
          <w:color w:val="000000"/>
        </w:rPr>
        <w:t>涉案產品進口大量增加</w:t>
      </w:r>
      <w:r w:rsidRPr="007E1056">
        <w:rPr>
          <w:rFonts w:hAnsi="標楷體"/>
          <w:kern w:val="0"/>
          <w:szCs w:val="32"/>
        </w:rPr>
        <w:t>：</w:t>
      </w:r>
      <w:r w:rsidRPr="00BC09D1">
        <w:rPr>
          <w:kern w:val="0"/>
          <w:szCs w:val="32"/>
        </w:rPr>
        <w:t>在</w:t>
      </w:r>
      <w:r w:rsidRPr="00BC09D1">
        <w:rPr>
          <w:kern w:val="0"/>
          <w:szCs w:val="32"/>
        </w:rPr>
        <w:t>100</w:t>
      </w:r>
      <w:r w:rsidRPr="00BC09D1">
        <w:rPr>
          <w:kern w:val="0"/>
          <w:szCs w:val="32"/>
        </w:rPr>
        <w:t>年至</w:t>
      </w:r>
      <w:r w:rsidRPr="00BC09D1">
        <w:rPr>
          <w:kern w:val="0"/>
          <w:szCs w:val="32"/>
        </w:rPr>
        <w:t>104</w:t>
      </w:r>
      <w:r w:rsidRPr="00BC09D1">
        <w:rPr>
          <w:kern w:val="0"/>
          <w:szCs w:val="32"/>
        </w:rPr>
        <w:t>年之調查資料涵蓋</w:t>
      </w:r>
      <w:proofErr w:type="gramStart"/>
      <w:r w:rsidRPr="00BC09D1">
        <w:rPr>
          <w:kern w:val="0"/>
          <w:szCs w:val="32"/>
        </w:rPr>
        <w:t>期間</w:t>
      </w:r>
      <w:r w:rsidRPr="00BC09D1">
        <w:rPr>
          <w:rFonts w:hAnsi="標楷體"/>
          <w:kern w:val="0"/>
          <w:szCs w:val="32"/>
        </w:rPr>
        <w:t>，</w:t>
      </w:r>
      <w:proofErr w:type="gramEnd"/>
      <w:r w:rsidRPr="00BC09D1">
        <w:rPr>
          <w:kern w:val="0"/>
          <w:szCs w:val="32"/>
        </w:rPr>
        <w:t>涉案產品進口量</w:t>
      </w:r>
      <w:r w:rsidRPr="00BC09D1">
        <w:t>自</w:t>
      </w:r>
      <w:r w:rsidRPr="00BC09D1">
        <w:t>15</w:t>
      </w:r>
      <w:r w:rsidRPr="00BC09D1">
        <w:rPr>
          <w:rFonts w:hint="eastAsia"/>
        </w:rPr>
        <w:t>3,360</w:t>
      </w:r>
      <w:r w:rsidRPr="00BC09D1">
        <w:t>公噸</w:t>
      </w:r>
      <w:r w:rsidRPr="00BC09D1">
        <w:rPr>
          <w:kern w:val="0"/>
          <w:szCs w:val="32"/>
        </w:rPr>
        <w:t>逐年增加</w:t>
      </w:r>
      <w:r w:rsidRPr="00BC09D1">
        <w:t>至</w:t>
      </w:r>
      <w:r w:rsidRPr="00BC09D1">
        <w:rPr>
          <w:rFonts w:hint="eastAsia"/>
        </w:rPr>
        <w:t>351,175</w:t>
      </w:r>
      <w:r w:rsidRPr="00BC09D1">
        <w:t>公噸，占進口市場比例自</w:t>
      </w:r>
      <w:r w:rsidRPr="00BC09D1">
        <w:t>4</w:t>
      </w:r>
      <w:r w:rsidRPr="00BC09D1">
        <w:rPr>
          <w:rFonts w:hint="eastAsia"/>
        </w:rPr>
        <w:t>4.1</w:t>
      </w:r>
      <w:r w:rsidRPr="00BC09D1">
        <w:t>％上升至</w:t>
      </w:r>
      <w:r w:rsidRPr="00BC09D1">
        <w:rPr>
          <w:rFonts w:hint="eastAsia"/>
        </w:rPr>
        <w:t>75</w:t>
      </w:r>
      <w:r w:rsidRPr="00BC09D1">
        <w:t>%</w:t>
      </w:r>
      <w:r w:rsidRPr="00BC09D1">
        <w:rPr>
          <w:rFonts w:hAnsi="標楷體"/>
        </w:rPr>
        <w:t>，</w:t>
      </w:r>
      <w:r w:rsidRPr="00BC09D1">
        <w:t>成為主要</w:t>
      </w:r>
      <w:r>
        <w:rPr>
          <w:rFonts w:hint="eastAsia"/>
        </w:rPr>
        <w:t>之</w:t>
      </w:r>
      <w:r w:rsidRPr="00BC09D1">
        <w:t>進口來源。</w:t>
      </w:r>
      <w:r w:rsidRPr="00BC09D1">
        <w:rPr>
          <w:rFonts w:hint="eastAsia"/>
        </w:rPr>
        <w:t>同</w:t>
      </w:r>
      <w:r w:rsidRPr="00BC09D1">
        <w:rPr>
          <w:rFonts w:hAnsi="標楷體"/>
        </w:rPr>
        <w:t>期間</w:t>
      </w:r>
      <w:r w:rsidRPr="00BC09D1">
        <w:rPr>
          <w:rFonts w:hAnsi="標楷體" w:hint="eastAsia"/>
        </w:rPr>
        <w:t>國內</w:t>
      </w:r>
      <w:r w:rsidRPr="00BC09D1">
        <w:rPr>
          <w:rFonts w:hAnsi="標楷體"/>
        </w:rPr>
        <w:t>市場需求小幅度增加，</w:t>
      </w:r>
      <w:r>
        <w:rPr>
          <w:rFonts w:hAnsi="標楷體" w:hint="eastAsia"/>
        </w:rPr>
        <w:t>涉案貨物大量進口，其進口增加速度遠大於需求增加速度，</w:t>
      </w:r>
      <w:r w:rsidRPr="00BC09D1">
        <w:t>涉案產品</w:t>
      </w:r>
      <w:r>
        <w:rPr>
          <w:rFonts w:hint="eastAsia"/>
        </w:rPr>
        <w:t>市場占有率</w:t>
      </w:r>
      <w:r w:rsidRPr="00BC09D1">
        <w:rPr>
          <w:rFonts w:hAnsi="標楷體"/>
        </w:rPr>
        <w:t>由</w:t>
      </w:r>
      <w:r w:rsidRPr="00BC09D1">
        <w:t>9.</w:t>
      </w:r>
      <w:r w:rsidRPr="00BC09D1">
        <w:rPr>
          <w:rFonts w:hint="eastAsia"/>
        </w:rPr>
        <w:t>5</w:t>
      </w:r>
      <w:r w:rsidRPr="00BC09D1">
        <w:t>%</w:t>
      </w:r>
      <w:r w:rsidRPr="00BC09D1">
        <w:rPr>
          <w:rFonts w:hAnsi="標楷體"/>
        </w:rPr>
        <w:t>大幅增加至</w:t>
      </w:r>
      <w:r w:rsidRPr="00BC09D1">
        <w:t>20.</w:t>
      </w:r>
      <w:r w:rsidRPr="00BC09D1">
        <w:rPr>
          <w:rFonts w:hint="eastAsia"/>
        </w:rPr>
        <w:t>3</w:t>
      </w:r>
      <w:r w:rsidRPr="00BC09D1">
        <w:t>%</w:t>
      </w:r>
      <w:r>
        <w:rPr>
          <w:rFonts w:hAnsi="標楷體" w:hint="eastAsia"/>
        </w:rPr>
        <w:t>；</w:t>
      </w:r>
      <w:r w:rsidRPr="00810517">
        <w:rPr>
          <w:rFonts w:hAnsi="標楷體"/>
        </w:rPr>
        <w:t>國產品</w:t>
      </w:r>
      <w:r>
        <w:rPr>
          <w:rFonts w:hAnsi="標楷體" w:hint="eastAsia"/>
        </w:rPr>
        <w:t>之內銷量在市場需求增加時卻反而減少，市場占有率</w:t>
      </w:r>
      <w:r w:rsidRPr="00810517">
        <w:rPr>
          <w:rFonts w:hAnsi="標楷體"/>
        </w:rPr>
        <w:t>由</w:t>
      </w:r>
      <w:r w:rsidRPr="00810517">
        <w:t>100</w:t>
      </w:r>
      <w:r w:rsidRPr="00810517">
        <w:rPr>
          <w:rFonts w:hAnsi="標楷體"/>
        </w:rPr>
        <w:t>年之</w:t>
      </w:r>
      <w:r w:rsidRPr="00810517">
        <w:t>78.4%</w:t>
      </w:r>
      <w:r w:rsidRPr="00810517">
        <w:rPr>
          <w:rFonts w:hAnsi="標楷體"/>
        </w:rPr>
        <w:t>逐年減少至</w:t>
      </w:r>
      <w:r w:rsidRPr="00810517">
        <w:t>103</w:t>
      </w:r>
      <w:r w:rsidRPr="00810517">
        <w:rPr>
          <w:rFonts w:hAnsi="標楷體"/>
        </w:rPr>
        <w:t>年之</w:t>
      </w:r>
      <w:r w:rsidRPr="00810517">
        <w:t>69.9%</w:t>
      </w:r>
      <w:r>
        <w:rPr>
          <w:rFonts w:hAnsi="標楷體" w:hint="eastAsia"/>
        </w:rPr>
        <w:t>至</w:t>
      </w:r>
      <w:r w:rsidRPr="00810517">
        <w:t>104</w:t>
      </w:r>
      <w:r w:rsidRPr="00810517">
        <w:rPr>
          <w:rFonts w:hAnsi="標楷體"/>
        </w:rPr>
        <w:t>年始回升至</w:t>
      </w:r>
      <w:r w:rsidRPr="00810517">
        <w:t>72.9%</w:t>
      </w:r>
      <w:r w:rsidRPr="00810517">
        <w:rPr>
          <w:rFonts w:hAnsi="標楷體"/>
        </w:rPr>
        <w:t>。</w:t>
      </w:r>
      <w:r w:rsidRPr="00BA3652">
        <w:rPr>
          <w:color w:val="000000"/>
          <w:kern w:val="0"/>
          <w:szCs w:val="32"/>
        </w:rPr>
        <w:t>因此，</w:t>
      </w:r>
      <w:r w:rsidRPr="00BA3652">
        <w:rPr>
          <w:color w:val="000000"/>
        </w:rPr>
        <w:t>涉案產品進口大量增加，對國產品之內銷量及市場占有率已造成</w:t>
      </w:r>
      <w:r>
        <w:rPr>
          <w:rFonts w:hint="eastAsia"/>
          <w:color w:val="000000"/>
        </w:rPr>
        <w:t>顯著</w:t>
      </w:r>
      <w:r w:rsidRPr="00BA3652">
        <w:rPr>
          <w:color w:val="000000"/>
        </w:rPr>
        <w:t>不利影</w:t>
      </w:r>
      <w:r w:rsidRPr="00BA3652">
        <w:t>響。</w:t>
      </w:r>
    </w:p>
    <w:p w:rsidR="00333A23" w:rsidRDefault="00152E42" w:rsidP="00333A23">
      <w:pPr>
        <w:pStyle w:val="2"/>
        <w:numPr>
          <w:ilvl w:val="0"/>
          <w:numId w:val="11"/>
        </w:numPr>
        <w:snapToGrid w:val="0"/>
        <w:spacing w:line="480" w:lineRule="exact"/>
        <w:ind w:leftChars="0" w:firstLineChars="0"/>
        <w:jc w:val="both"/>
        <w:rPr>
          <w:rFonts w:hint="eastAsia"/>
        </w:rPr>
      </w:pPr>
      <w:r w:rsidRPr="00152E42">
        <w:rPr>
          <w:color w:val="000000"/>
          <w:szCs w:val="32"/>
        </w:rPr>
        <w:t>涉案產品傾銷進口對國產品內銷價造成</w:t>
      </w:r>
      <w:r w:rsidRPr="00152E42">
        <w:rPr>
          <w:rFonts w:hint="eastAsia"/>
          <w:color w:val="000000"/>
          <w:szCs w:val="32"/>
        </w:rPr>
        <w:t>顯著</w:t>
      </w:r>
      <w:r w:rsidRPr="00152E42">
        <w:rPr>
          <w:color w:val="000000"/>
          <w:szCs w:val="32"/>
        </w:rPr>
        <w:t>影響：調查資料涵蓋期間涉案</w:t>
      </w:r>
      <w:r w:rsidRPr="00152E42">
        <w:rPr>
          <w:rFonts w:hint="eastAsia"/>
          <w:color w:val="000000"/>
          <w:szCs w:val="32"/>
        </w:rPr>
        <w:t>產品</w:t>
      </w:r>
      <w:r w:rsidRPr="00152E42">
        <w:rPr>
          <w:color w:val="000000"/>
          <w:szCs w:val="32"/>
        </w:rPr>
        <w:t>進口價格</w:t>
      </w:r>
      <w:r w:rsidRPr="00152E42">
        <w:rPr>
          <w:rFonts w:hint="eastAsia"/>
          <w:color w:val="000000"/>
          <w:szCs w:val="32"/>
        </w:rPr>
        <w:t>始終</w:t>
      </w:r>
      <w:r w:rsidRPr="00152E42">
        <w:rPr>
          <w:color w:val="000000"/>
          <w:szCs w:val="32"/>
        </w:rPr>
        <w:t>低於國產品銷售價格</w:t>
      </w:r>
      <w:r w:rsidRPr="00152E42">
        <w:rPr>
          <w:rFonts w:hint="eastAsia"/>
          <w:color w:val="000000"/>
          <w:szCs w:val="32"/>
        </w:rPr>
        <w:t>。</w:t>
      </w:r>
      <w:r w:rsidRPr="00152E42">
        <w:rPr>
          <w:color w:val="000000"/>
          <w:szCs w:val="32"/>
        </w:rPr>
        <w:t>國內</w:t>
      </w:r>
      <w:r w:rsidRPr="00152E42">
        <w:rPr>
          <w:rFonts w:hint="eastAsia"/>
          <w:color w:val="000000"/>
          <w:szCs w:val="32"/>
        </w:rPr>
        <w:t>特定</w:t>
      </w:r>
      <w:r w:rsidRPr="00152E42">
        <w:rPr>
          <w:color w:val="000000"/>
          <w:szCs w:val="32"/>
        </w:rPr>
        <w:t>鍍鋅鋼品</w:t>
      </w:r>
      <w:r w:rsidRPr="00152E42">
        <w:rPr>
          <w:rFonts w:hint="eastAsia"/>
          <w:color w:val="000000"/>
          <w:szCs w:val="32"/>
        </w:rPr>
        <w:t>之</w:t>
      </w:r>
      <w:r w:rsidRPr="00152E42">
        <w:rPr>
          <w:color w:val="000000"/>
          <w:szCs w:val="32"/>
        </w:rPr>
        <w:t>市場價格</w:t>
      </w:r>
      <w:r w:rsidRPr="00152E42">
        <w:rPr>
          <w:rFonts w:hint="eastAsia"/>
          <w:color w:val="000000"/>
          <w:szCs w:val="32"/>
        </w:rPr>
        <w:t>不僅</w:t>
      </w:r>
      <w:r w:rsidRPr="00152E42">
        <w:rPr>
          <w:color w:val="000000"/>
          <w:szCs w:val="32"/>
        </w:rPr>
        <w:t>受原物料及</w:t>
      </w:r>
      <w:r w:rsidRPr="00152E42">
        <w:rPr>
          <w:rFonts w:hint="eastAsia"/>
          <w:color w:val="000000"/>
          <w:szCs w:val="32"/>
        </w:rPr>
        <w:t>全球</w:t>
      </w:r>
      <w:r w:rsidRPr="00152E42">
        <w:rPr>
          <w:color w:val="000000"/>
          <w:szCs w:val="32"/>
        </w:rPr>
        <w:t>鋼品價格持續下跌的影響，市場競價</w:t>
      </w:r>
      <w:r w:rsidRPr="00152E42">
        <w:rPr>
          <w:rFonts w:hint="eastAsia"/>
          <w:color w:val="000000"/>
          <w:szCs w:val="32"/>
        </w:rPr>
        <w:t>情況亦</w:t>
      </w:r>
      <w:r w:rsidRPr="00152E42">
        <w:rPr>
          <w:color w:val="000000"/>
          <w:szCs w:val="32"/>
        </w:rPr>
        <w:t>非常激烈，無論是涉案國產品、非涉案國產品及國產品價格均呈現逐年顯著下跌之趨勢</w:t>
      </w:r>
      <w:r w:rsidRPr="00152E42">
        <w:rPr>
          <w:rFonts w:hint="eastAsia"/>
          <w:color w:val="000000"/>
          <w:szCs w:val="32"/>
        </w:rPr>
        <w:t>，</w:t>
      </w:r>
      <w:r w:rsidRPr="00152E42">
        <w:rPr>
          <w:color w:val="000000"/>
          <w:szCs w:val="32"/>
        </w:rPr>
        <w:t>大致而言，</w:t>
      </w:r>
      <w:r w:rsidRPr="00152E42">
        <w:rPr>
          <w:rFonts w:hint="eastAsia"/>
          <w:color w:val="000000"/>
          <w:szCs w:val="32"/>
        </w:rPr>
        <w:t>以</w:t>
      </w:r>
      <w:r w:rsidRPr="00152E42">
        <w:rPr>
          <w:color w:val="000000"/>
          <w:szCs w:val="32"/>
        </w:rPr>
        <w:t>涉案</w:t>
      </w:r>
      <w:r w:rsidRPr="00152E42">
        <w:rPr>
          <w:rFonts w:hint="eastAsia"/>
          <w:color w:val="000000"/>
          <w:szCs w:val="32"/>
        </w:rPr>
        <w:t>貨物</w:t>
      </w:r>
      <w:r w:rsidRPr="00152E42">
        <w:rPr>
          <w:color w:val="000000"/>
          <w:szCs w:val="32"/>
        </w:rPr>
        <w:t>價格</w:t>
      </w:r>
      <w:r w:rsidRPr="00152E42">
        <w:rPr>
          <w:rFonts w:hint="eastAsia"/>
          <w:color w:val="000000"/>
          <w:szCs w:val="32"/>
        </w:rPr>
        <w:t>之</w:t>
      </w:r>
      <w:r w:rsidRPr="00152E42">
        <w:rPr>
          <w:color w:val="000000"/>
          <w:szCs w:val="32"/>
        </w:rPr>
        <w:t>降幅最大</w:t>
      </w:r>
      <w:r w:rsidRPr="00152E42">
        <w:rPr>
          <w:rFonts w:hint="eastAsia"/>
          <w:color w:val="000000"/>
          <w:szCs w:val="32"/>
        </w:rPr>
        <w:t>。</w:t>
      </w:r>
      <w:r w:rsidRPr="00152E42">
        <w:rPr>
          <w:color w:val="000000"/>
          <w:szCs w:val="32"/>
        </w:rPr>
        <w:t>國產品內銷價</w:t>
      </w:r>
      <w:r w:rsidRPr="00152E42">
        <w:rPr>
          <w:rFonts w:hint="eastAsia"/>
          <w:color w:val="000000"/>
          <w:szCs w:val="32"/>
        </w:rPr>
        <w:t>除</w:t>
      </w:r>
      <w:r w:rsidRPr="00152E42">
        <w:rPr>
          <w:color w:val="000000"/>
          <w:szCs w:val="32"/>
        </w:rPr>
        <w:t>於</w:t>
      </w:r>
      <w:r w:rsidRPr="00152E42">
        <w:rPr>
          <w:color w:val="000000"/>
          <w:szCs w:val="32"/>
        </w:rPr>
        <w:t>102</w:t>
      </w:r>
      <w:r w:rsidRPr="00152E42">
        <w:rPr>
          <w:color w:val="000000"/>
          <w:szCs w:val="32"/>
        </w:rPr>
        <w:t>年外，其餘</w:t>
      </w:r>
      <w:r w:rsidRPr="00152E42">
        <w:rPr>
          <w:rFonts w:hint="eastAsia"/>
          <w:color w:val="000000"/>
          <w:szCs w:val="32"/>
        </w:rPr>
        <w:t>年度之跌價幅度不僅止於</w:t>
      </w:r>
      <w:r w:rsidRPr="00152E42">
        <w:rPr>
          <w:color w:val="000000"/>
          <w:szCs w:val="32"/>
        </w:rPr>
        <w:t>成本下</w:t>
      </w:r>
      <w:r w:rsidRPr="00152E42">
        <w:rPr>
          <w:rFonts w:hint="eastAsia"/>
          <w:color w:val="000000"/>
          <w:szCs w:val="32"/>
        </w:rPr>
        <w:t>降之幅度，即便於</w:t>
      </w:r>
      <w:r w:rsidRPr="00152E42">
        <w:rPr>
          <w:color w:val="000000"/>
          <w:szCs w:val="32"/>
        </w:rPr>
        <w:t>成本</w:t>
      </w:r>
      <w:r w:rsidRPr="00152E42">
        <w:rPr>
          <w:rFonts w:hint="eastAsia"/>
          <w:color w:val="000000"/>
          <w:szCs w:val="32"/>
        </w:rPr>
        <w:t>增加時內銷</w:t>
      </w:r>
      <w:r w:rsidRPr="00152E42">
        <w:rPr>
          <w:rFonts w:hint="eastAsia"/>
          <w:color w:val="000000"/>
          <w:szCs w:val="32"/>
        </w:rPr>
        <w:lastRenderedPageBreak/>
        <w:t>價亦因考量進口品之價格而</w:t>
      </w:r>
      <w:r w:rsidRPr="00152E42">
        <w:rPr>
          <w:color w:val="000000"/>
          <w:szCs w:val="32"/>
        </w:rPr>
        <w:t>無法</w:t>
      </w:r>
      <w:r w:rsidRPr="00152E42">
        <w:rPr>
          <w:rFonts w:hint="eastAsia"/>
          <w:color w:val="000000"/>
          <w:szCs w:val="32"/>
        </w:rPr>
        <w:t>調高。</w:t>
      </w:r>
      <w:r w:rsidR="00333A23">
        <w:rPr>
          <w:rFonts w:hint="eastAsia"/>
          <w:color w:val="000000"/>
          <w:szCs w:val="32"/>
        </w:rPr>
        <w:t>更何況</w:t>
      </w:r>
      <w:r w:rsidRPr="00152E42">
        <w:rPr>
          <w:rFonts w:hint="eastAsia"/>
          <w:color w:val="000000"/>
          <w:szCs w:val="32"/>
        </w:rPr>
        <w:t>同</w:t>
      </w:r>
      <w:r w:rsidRPr="00152E42">
        <w:rPr>
          <w:color w:val="000000"/>
          <w:szCs w:val="32"/>
        </w:rPr>
        <w:t>期間</w:t>
      </w:r>
      <w:r w:rsidR="00333A23">
        <w:rPr>
          <w:rFonts w:hint="eastAsia"/>
          <w:color w:val="000000"/>
          <w:szCs w:val="32"/>
        </w:rPr>
        <w:t>國產品之內</w:t>
      </w:r>
      <w:r w:rsidRPr="00152E42">
        <w:rPr>
          <w:rFonts w:hint="eastAsia"/>
          <w:color w:val="000000"/>
          <w:szCs w:val="32"/>
        </w:rPr>
        <w:t>銷價</w:t>
      </w:r>
      <w:r w:rsidR="00333A23">
        <w:rPr>
          <w:rFonts w:hint="eastAsia"/>
          <w:color w:val="000000"/>
          <w:szCs w:val="32"/>
        </w:rPr>
        <w:t>始終低於外</w:t>
      </w:r>
      <w:r w:rsidRPr="00152E42">
        <w:rPr>
          <w:rFonts w:hint="eastAsia"/>
          <w:color w:val="000000"/>
          <w:szCs w:val="32"/>
        </w:rPr>
        <w:t>銷價，且於</w:t>
      </w:r>
      <w:r w:rsidRPr="00152E42">
        <w:rPr>
          <w:color w:val="000000"/>
          <w:szCs w:val="32"/>
        </w:rPr>
        <w:t>成本</w:t>
      </w:r>
      <w:r w:rsidR="00333A23">
        <w:rPr>
          <w:rFonts w:hint="eastAsia"/>
          <w:color w:val="000000"/>
          <w:szCs w:val="32"/>
        </w:rPr>
        <w:t>下降時，內</w:t>
      </w:r>
      <w:r w:rsidRPr="00152E42">
        <w:rPr>
          <w:rFonts w:hint="eastAsia"/>
          <w:color w:val="000000"/>
          <w:szCs w:val="32"/>
        </w:rPr>
        <w:t>銷價之降幅</w:t>
      </w:r>
      <w:r w:rsidR="00333A23">
        <w:rPr>
          <w:rFonts w:hint="eastAsia"/>
          <w:color w:val="000000"/>
          <w:szCs w:val="32"/>
        </w:rPr>
        <w:t>大於外</w:t>
      </w:r>
      <w:r w:rsidRPr="00152E42">
        <w:rPr>
          <w:rFonts w:hint="eastAsia"/>
          <w:color w:val="000000"/>
          <w:szCs w:val="32"/>
        </w:rPr>
        <w:t>銷價之幅度，顯見國產品確因涉案產品進口而減價。</w:t>
      </w:r>
      <w:r w:rsidRPr="00152E42">
        <w:rPr>
          <w:color w:val="000000"/>
          <w:szCs w:val="32"/>
        </w:rPr>
        <w:t>因此，涉案產品傾銷進口對國產品內銷價造成</w:t>
      </w:r>
      <w:r w:rsidRPr="00152E42">
        <w:rPr>
          <w:rFonts w:hint="eastAsia"/>
          <w:color w:val="000000"/>
          <w:szCs w:val="32"/>
        </w:rPr>
        <w:t>顯著</w:t>
      </w:r>
      <w:r w:rsidRPr="00152E42">
        <w:rPr>
          <w:color w:val="000000"/>
          <w:szCs w:val="32"/>
        </w:rPr>
        <w:t>影響。</w:t>
      </w:r>
    </w:p>
    <w:p w:rsidR="00152E42" w:rsidRPr="00333A23" w:rsidRDefault="00152E42" w:rsidP="00333A23">
      <w:pPr>
        <w:pStyle w:val="2"/>
        <w:numPr>
          <w:ilvl w:val="0"/>
          <w:numId w:val="11"/>
        </w:numPr>
        <w:snapToGrid w:val="0"/>
        <w:spacing w:line="480" w:lineRule="exact"/>
        <w:ind w:leftChars="0" w:firstLineChars="0"/>
        <w:jc w:val="both"/>
      </w:pPr>
      <w:r w:rsidRPr="00333A23">
        <w:rPr>
          <w:rFonts w:ascii="標楷體" w:hAnsi="標楷體"/>
          <w:color w:val="000000"/>
          <w:szCs w:val="32"/>
        </w:rPr>
        <w:t>涉案產品進口對國</w:t>
      </w:r>
      <w:r w:rsidRPr="00333A23">
        <w:rPr>
          <w:rFonts w:ascii="標楷體" w:hAnsi="標楷體" w:hint="eastAsia"/>
          <w:color w:val="000000"/>
          <w:szCs w:val="32"/>
        </w:rPr>
        <w:t>內產業</w:t>
      </w:r>
      <w:r w:rsidRPr="00333A23">
        <w:rPr>
          <w:rFonts w:ascii="標楷體" w:hAnsi="標楷體"/>
          <w:color w:val="000000"/>
          <w:szCs w:val="32"/>
        </w:rPr>
        <w:t>造成</w:t>
      </w:r>
      <w:r w:rsidRPr="00333A23">
        <w:rPr>
          <w:rFonts w:ascii="標楷體" w:hAnsi="標楷體" w:hint="eastAsia"/>
          <w:color w:val="000000"/>
          <w:szCs w:val="32"/>
        </w:rPr>
        <w:t>顯著</w:t>
      </w:r>
      <w:r w:rsidRPr="00333A23">
        <w:rPr>
          <w:rFonts w:ascii="標楷體" w:hAnsi="標楷體"/>
          <w:color w:val="000000"/>
          <w:szCs w:val="32"/>
        </w:rPr>
        <w:t>不利影響：調查資料涵蓋</w:t>
      </w:r>
      <w:proofErr w:type="gramStart"/>
      <w:r w:rsidRPr="00333A23">
        <w:rPr>
          <w:rFonts w:ascii="標楷體" w:hAnsi="標楷體"/>
          <w:color w:val="000000"/>
          <w:szCs w:val="32"/>
        </w:rPr>
        <w:t>期間，</w:t>
      </w:r>
      <w:proofErr w:type="gramEnd"/>
      <w:r w:rsidRPr="00333A23">
        <w:rPr>
          <w:rFonts w:ascii="標楷體" w:hAnsi="標楷體" w:hint="eastAsia"/>
          <w:color w:val="000000"/>
          <w:szCs w:val="32"/>
        </w:rPr>
        <w:t>國內特定鍍鋅鋼品</w:t>
      </w:r>
      <w:r w:rsidRPr="00333A23">
        <w:rPr>
          <w:rFonts w:ascii="標楷體" w:hAnsi="標楷體"/>
          <w:color w:val="000000"/>
          <w:szCs w:val="32"/>
        </w:rPr>
        <w:t>價格</w:t>
      </w:r>
      <w:r w:rsidRPr="00333A23">
        <w:rPr>
          <w:rFonts w:ascii="標楷體" w:hAnsi="標楷體" w:hint="eastAsia"/>
          <w:color w:val="000000"/>
          <w:szCs w:val="32"/>
        </w:rPr>
        <w:t>持續下跌</w:t>
      </w:r>
      <w:r w:rsidRPr="00333A23">
        <w:rPr>
          <w:rFonts w:ascii="標楷體" w:hAnsi="標楷體"/>
          <w:color w:val="000000"/>
          <w:szCs w:val="32"/>
        </w:rPr>
        <w:t>。</w:t>
      </w:r>
      <w:r w:rsidRPr="00333A23">
        <w:rPr>
          <w:rFonts w:ascii="標楷體" w:hAnsi="標楷體" w:hint="eastAsia"/>
          <w:color w:val="000000"/>
          <w:szCs w:val="32"/>
        </w:rPr>
        <w:t>同</w:t>
      </w:r>
      <w:proofErr w:type="gramStart"/>
      <w:r w:rsidRPr="00333A23">
        <w:rPr>
          <w:rFonts w:ascii="標楷體" w:hAnsi="標楷體" w:hint="eastAsia"/>
          <w:color w:val="000000"/>
          <w:szCs w:val="32"/>
        </w:rPr>
        <w:t>期間，</w:t>
      </w:r>
      <w:proofErr w:type="gramEnd"/>
      <w:r w:rsidRPr="00333A23">
        <w:rPr>
          <w:rFonts w:ascii="標楷體" w:hAnsi="標楷體" w:hint="eastAsia"/>
          <w:color w:val="000000"/>
          <w:szCs w:val="32"/>
        </w:rPr>
        <w:t>涉案貨物以低價持續大量進入我國市場，排擠了國產品之內銷空間。迫於低價競爭，為保住國內市場，國內業者不得不降價求售，甚至降到低於製成品成本，以致內銷營業利益嚴重虧損。產能利用率、生產力、存貨等變化因受相當大比例之外銷量之影響而變化較不顯著，惟仍部分反映國產品內銷市場</w:t>
      </w:r>
      <w:r w:rsidRPr="00333A23">
        <w:rPr>
          <w:rFonts w:ascii="標楷體" w:hAnsi="標楷體"/>
          <w:color w:val="000000"/>
          <w:szCs w:val="32"/>
        </w:rPr>
        <w:t>受到</w:t>
      </w:r>
      <w:r w:rsidRPr="00333A23">
        <w:rPr>
          <w:rFonts w:ascii="標楷體" w:hAnsi="標楷體" w:hint="eastAsia"/>
          <w:color w:val="000000"/>
          <w:szCs w:val="32"/>
        </w:rPr>
        <w:t>內銷量減少之</w:t>
      </w:r>
      <w:r w:rsidRPr="00333A23">
        <w:rPr>
          <w:rFonts w:ascii="標楷體" w:hAnsi="標楷體"/>
          <w:color w:val="000000"/>
          <w:szCs w:val="32"/>
        </w:rPr>
        <w:t>不利影響</w:t>
      </w:r>
      <w:r w:rsidRPr="00333A23">
        <w:rPr>
          <w:rFonts w:ascii="標楷體" w:hAnsi="標楷體" w:hint="eastAsia"/>
          <w:color w:val="000000"/>
          <w:szCs w:val="32"/>
        </w:rPr>
        <w:t>。</w:t>
      </w:r>
      <w:r w:rsidRPr="00333A23">
        <w:rPr>
          <w:rFonts w:ascii="標楷體" w:hAnsi="標楷體"/>
          <w:color w:val="000000"/>
          <w:szCs w:val="32"/>
        </w:rPr>
        <w:t>因此，涉案產品進口對國</w:t>
      </w:r>
      <w:r w:rsidRPr="00333A23">
        <w:rPr>
          <w:rFonts w:ascii="標楷體" w:hAnsi="標楷體" w:hint="eastAsia"/>
          <w:color w:val="000000"/>
          <w:szCs w:val="32"/>
        </w:rPr>
        <w:t>內產業</w:t>
      </w:r>
      <w:r w:rsidRPr="00333A23">
        <w:rPr>
          <w:rFonts w:ascii="標楷體" w:hAnsi="標楷體"/>
          <w:color w:val="000000"/>
          <w:szCs w:val="32"/>
        </w:rPr>
        <w:t>造成</w:t>
      </w:r>
      <w:r w:rsidRPr="00333A23">
        <w:rPr>
          <w:rFonts w:ascii="標楷體" w:hAnsi="標楷體" w:hint="eastAsia"/>
          <w:color w:val="000000"/>
          <w:szCs w:val="32"/>
        </w:rPr>
        <w:t>顯著</w:t>
      </w:r>
      <w:r w:rsidRPr="00333A23">
        <w:rPr>
          <w:rFonts w:ascii="標楷體" w:hAnsi="標楷體"/>
          <w:color w:val="000000"/>
          <w:szCs w:val="32"/>
        </w:rPr>
        <w:t>不利影響。</w:t>
      </w:r>
    </w:p>
    <w:p w:rsidR="00152E42" w:rsidRPr="00EE65A5" w:rsidRDefault="00152E42" w:rsidP="00152E42">
      <w:pPr>
        <w:widowControl/>
        <w:snapToGrid w:val="0"/>
        <w:spacing w:line="480" w:lineRule="exact"/>
        <w:ind w:leftChars="99" w:left="795" w:hangingChars="174" w:hanging="557"/>
        <w:jc w:val="both"/>
        <w:rPr>
          <w:rFonts w:eastAsia="標楷體"/>
          <w:color w:val="000000"/>
          <w:sz w:val="32"/>
          <w:szCs w:val="32"/>
        </w:rPr>
      </w:pPr>
    </w:p>
    <w:p w:rsidR="00152E42" w:rsidRPr="001666DE" w:rsidRDefault="00152E42" w:rsidP="00152E42">
      <w:pPr>
        <w:rPr>
          <w:rFonts w:eastAsia="標楷體"/>
          <w:snapToGrid w:val="0"/>
          <w:sz w:val="28"/>
        </w:rPr>
      </w:pPr>
      <w:r>
        <w:rPr>
          <w:rFonts w:ascii="標楷體" w:eastAsia="標楷體" w:hAnsi="標楷體" w:hint="eastAsia"/>
          <w:szCs w:val="24"/>
          <w:shd w:val="pct15" w:color="auto" w:fill="FFFFFF"/>
          <w:lang w:val="zh-TW"/>
        </w:rPr>
        <w:t>附檔：中</w:t>
      </w:r>
      <w:r w:rsidRPr="001666DE">
        <w:rPr>
          <w:rFonts w:ascii="標楷體" w:eastAsia="標楷體" w:hAnsi="標楷體" w:hint="eastAsia"/>
          <w:szCs w:val="24"/>
          <w:shd w:val="pct15" w:color="auto" w:fill="FFFFFF"/>
          <w:lang w:val="zh-TW"/>
        </w:rPr>
        <w:t>國</w:t>
      </w:r>
      <w:r>
        <w:rPr>
          <w:rFonts w:ascii="標楷體" w:eastAsia="標楷體" w:hAnsi="標楷體" w:hint="eastAsia"/>
          <w:szCs w:val="24"/>
          <w:shd w:val="pct15" w:color="auto" w:fill="FFFFFF"/>
          <w:lang w:val="zh-TW"/>
        </w:rPr>
        <w:t>大陸</w:t>
      </w:r>
      <w:r w:rsidRPr="001666DE">
        <w:rPr>
          <w:rFonts w:ascii="標楷體" w:eastAsia="標楷體" w:hAnsi="標楷體" w:hint="eastAsia"/>
          <w:szCs w:val="24"/>
          <w:shd w:val="pct15" w:color="auto" w:fill="FFFFFF"/>
          <w:lang w:val="zh-TW"/>
        </w:rPr>
        <w:t>及</w:t>
      </w:r>
      <w:r>
        <w:rPr>
          <w:rFonts w:ascii="標楷體" w:eastAsia="標楷體" w:hAnsi="標楷體" w:hint="eastAsia"/>
          <w:szCs w:val="24"/>
          <w:shd w:val="pct15" w:color="auto" w:fill="FFFFFF"/>
          <w:lang w:val="zh-TW"/>
        </w:rPr>
        <w:t>韓國特定鍍鋅</w:t>
      </w:r>
      <w:r w:rsidRPr="001666DE">
        <w:rPr>
          <w:rFonts w:ascii="標楷體" w:eastAsia="標楷體" w:hAnsi="標楷體" w:hint="eastAsia"/>
          <w:szCs w:val="24"/>
          <w:shd w:val="pct15" w:color="auto" w:fill="FFFFFF"/>
          <w:lang w:val="zh-TW"/>
        </w:rPr>
        <w:t>鋼</w:t>
      </w:r>
      <w:r>
        <w:rPr>
          <w:rFonts w:ascii="標楷體" w:eastAsia="標楷體" w:hAnsi="標楷體" w:hint="eastAsia"/>
          <w:szCs w:val="24"/>
          <w:shd w:val="pct15" w:color="auto" w:fill="FFFFFF"/>
          <w:lang w:val="zh-TW"/>
        </w:rPr>
        <w:t>品</w:t>
      </w:r>
      <w:r w:rsidRPr="001666DE">
        <w:rPr>
          <w:rFonts w:ascii="標楷體" w:eastAsia="標楷體" w:hAnsi="標楷體" w:hint="eastAsia"/>
          <w:szCs w:val="24"/>
          <w:shd w:val="pct15" w:color="auto" w:fill="FFFFFF"/>
          <w:lang w:val="zh-TW"/>
        </w:rPr>
        <w:t>反傾銷案產業損害初步調查</w:t>
      </w:r>
      <w:r>
        <w:rPr>
          <w:rFonts w:ascii="標楷體" w:eastAsia="標楷體" w:hAnsi="標楷體" w:hint="eastAsia"/>
          <w:szCs w:val="24"/>
          <w:shd w:val="pct15" w:color="auto" w:fill="FFFFFF"/>
          <w:lang w:val="zh-TW"/>
        </w:rPr>
        <w:t>附表</w:t>
      </w:r>
    </w:p>
    <w:sectPr w:rsidR="00152E42" w:rsidRPr="001666DE" w:rsidSect="00333A23">
      <w:pgSz w:w="11907" w:h="16840" w:code="9"/>
      <w:pgMar w:top="1440" w:right="1800" w:bottom="1440" w:left="1800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C75" w:rsidRDefault="008C4C75" w:rsidP="00A70816">
      <w:r>
        <w:separator/>
      </w:r>
    </w:p>
  </w:endnote>
  <w:endnote w:type="continuationSeparator" w:id="0">
    <w:p w:rsidR="008C4C75" w:rsidRDefault="008C4C75" w:rsidP="00A70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C75" w:rsidRDefault="008C4C75" w:rsidP="00A70816">
      <w:r>
        <w:separator/>
      </w:r>
    </w:p>
  </w:footnote>
  <w:footnote w:type="continuationSeparator" w:id="0">
    <w:p w:rsidR="008C4C75" w:rsidRDefault="008C4C75" w:rsidP="00A70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26B"/>
    <w:multiLevelType w:val="hybridMultilevel"/>
    <w:tmpl w:val="C6425098"/>
    <w:lvl w:ilvl="0" w:tplc="A244A844">
      <w:start w:val="1"/>
      <w:numFmt w:val="taiwaneseCountingThousand"/>
      <w:lvlText w:val="(%1)"/>
      <w:lvlJc w:val="left"/>
      <w:pPr>
        <w:ind w:left="15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6" w:hanging="480"/>
      </w:pPr>
    </w:lvl>
    <w:lvl w:ilvl="2" w:tplc="0409001B" w:tentative="1">
      <w:start w:val="1"/>
      <w:numFmt w:val="lowerRoman"/>
      <w:lvlText w:val="%3."/>
      <w:lvlJc w:val="right"/>
      <w:pPr>
        <w:ind w:left="2476" w:hanging="480"/>
      </w:pPr>
    </w:lvl>
    <w:lvl w:ilvl="3" w:tplc="0409000F" w:tentative="1">
      <w:start w:val="1"/>
      <w:numFmt w:val="decimal"/>
      <w:lvlText w:val="%4."/>
      <w:lvlJc w:val="left"/>
      <w:pPr>
        <w:ind w:left="2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6" w:hanging="480"/>
      </w:pPr>
    </w:lvl>
    <w:lvl w:ilvl="5" w:tplc="0409001B" w:tentative="1">
      <w:start w:val="1"/>
      <w:numFmt w:val="lowerRoman"/>
      <w:lvlText w:val="%6."/>
      <w:lvlJc w:val="right"/>
      <w:pPr>
        <w:ind w:left="3916" w:hanging="480"/>
      </w:pPr>
    </w:lvl>
    <w:lvl w:ilvl="6" w:tplc="0409000F" w:tentative="1">
      <w:start w:val="1"/>
      <w:numFmt w:val="decimal"/>
      <w:lvlText w:val="%7."/>
      <w:lvlJc w:val="left"/>
      <w:pPr>
        <w:ind w:left="4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6" w:hanging="480"/>
      </w:pPr>
    </w:lvl>
    <w:lvl w:ilvl="8" w:tplc="0409001B" w:tentative="1">
      <w:start w:val="1"/>
      <w:numFmt w:val="lowerRoman"/>
      <w:lvlText w:val="%9."/>
      <w:lvlJc w:val="right"/>
      <w:pPr>
        <w:ind w:left="5356" w:hanging="480"/>
      </w:pPr>
    </w:lvl>
  </w:abstractNum>
  <w:abstractNum w:abstractNumId="1">
    <w:nsid w:val="0B8D58C2"/>
    <w:multiLevelType w:val="hybridMultilevel"/>
    <w:tmpl w:val="ADE24A40"/>
    <w:lvl w:ilvl="0" w:tplc="A244A8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ED5A59"/>
    <w:multiLevelType w:val="hybridMultilevel"/>
    <w:tmpl w:val="335E2A26"/>
    <w:lvl w:ilvl="0" w:tplc="39D4F9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B26F00"/>
    <w:multiLevelType w:val="hybridMultilevel"/>
    <w:tmpl w:val="2F6470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F2067B"/>
    <w:multiLevelType w:val="hybridMultilevel"/>
    <w:tmpl w:val="9DE26068"/>
    <w:lvl w:ilvl="0" w:tplc="A244A84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A8A79B7"/>
    <w:multiLevelType w:val="hybridMultilevel"/>
    <w:tmpl w:val="83106C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C17681"/>
    <w:multiLevelType w:val="hybridMultilevel"/>
    <w:tmpl w:val="46F21832"/>
    <w:lvl w:ilvl="0" w:tplc="A244A844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4CD42017"/>
    <w:multiLevelType w:val="hybridMultilevel"/>
    <w:tmpl w:val="669AA640"/>
    <w:lvl w:ilvl="0" w:tplc="1EAE3B1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560FFF"/>
    <w:multiLevelType w:val="hybridMultilevel"/>
    <w:tmpl w:val="D17616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6634BA"/>
    <w:multiLevelType w:val="hybridMultilevel"/>
    <w:tmpl w:val="F63AA7CE"/>
    <w:lvl w:ilvl="0" w:tplc="F6666C94">
      <w:start w:val="1"/>
      <w:numFmt w:val="taiwaneseCountingThousand"/>
      <w:lvlText w:val="%1、"/>
      <w:lvlJc w:val="left"/>
      <w:pPr>
        <w:ind w:left="73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0">
    <w:nsid w:val="690A7CEE"/>
    <w:multiLevelType w:val="hybridMultilevel"/>
    <w:tmpl w:val="F1D041E4"/>
    <w:lvl w:ilvl="0" w:tplc="4FBE83E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9DC"/>
    <w:rsid w:val="000F2F13"/>
    <w:rsid w:val="00131F42"/>
    <w:rsid w:val="00146B26"/>
    <w:rsid w:val="00152E42"/>
    <w:rsid w:val="001B59DB"/>
    <w:rsid w:val="00297D59"/>
    <w:rsid w:val="00333A23"/>
    <w:rsid w:val="003570A3"/>
    <w:rsid w:val="00395BF3"/>
    <w:rsid w:val="003F4ED5"/>
    <w:rsid w:val="003F5049"/>
    <w:rsid w:val="00497E6C"/>
    <w:rsid w:val="00506982"/>
    <w:rsid w:val="00692943"/>
    <w:rsid w:val="007350F8"/>
    <w:rsid w:val="008C4C75"/>
    <w:rsid w:val="008C54E1"/>
    <w:rsid w:val="008D3512"/>
    <w:rsid w:val="00A179DC"/>
    <w:rsid w:val="00A446AA"/>
    <w:rsid w:val="00A70816"/>
    <w:rsid w:val="00C477F1"/>
    <w:rsid w:val="00C54F62"/>
    <w:rsid w:val="00C8272E"/>
    <w:rsid w:val="00EC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9D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C5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C54E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C5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C54E1"/>
    <w:rPr>
      <w:sz w:val="20"/>
      <w:szCs w:val="20"/>
    </w:rPr>
  </w:style>
  <w:style w:type="paragraph" w:styleId="a8">
    <w:name w:val="Body Text"/>
    <w:basedOn w:val="a"/>
    <w:link w:val="a9"/>
    <w:rsid w:val="00152E42"/>
    <w:pPr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9">
    <w:name w:val="本文 字元"/>
    <w:basedOn w:val="a0"/>
    <w:link w:val="a8"/>
    <w:rsid w:val="00152E42"/>
    <w:rPr>
      <w:rFonts w:ascii="Times New Roman" w:eastAsia="標楷體" w:hAnsi="Times New Roman" w:cs="Times New Roman"/>
      <w:kern w:val="0"/>
      <w:sz w:val="28"/>
      <w:szCs w:val="20"/>
    </w:rPr>
  </w:style>
  <w:style w:type="paragraph" w:styleId="aa">
    <w:name w:val="Plain Text"/>
    <w:basedOn w:val="a"/>
    <w:link w:val="ab"/>
    <w:rsid w:val="00152E42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152E42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152E42"/>
    <w:pPr>
      <w:spacing w:line="500" w:lineRule="exact"/>
      <w:ind w:leftChars="-47" w:left="-113" w:firstLineChars="147" w:firstLine="47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20">
    <w:name w:val="本文縮排 2 字元"/>
    <w:basedOn w:val="a0"/>
    <w:link w:val="2"/>
    <w:rsid w:val="00152E42"/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43292-13C2-4B21-ABA6-210BBB1E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clkao</dc:creator>
  <cp:lastModifiedBy>clkao</cp:lastModifiedBy>
  <cp:revision>3</cp:revision>
  <cp:lastPrinted>2016-04-19T04:58:00Z</cp:lastPrinted>
  <dcterms:created xsi:type="dcterms:W3CDTF">2016-04-19T05:01:00Z</dcterms:created>
  <dcterms:modified xsi:type="dcterms:W3CDTF">2016-04-20T10:30:00Z</dcterms:modified>
</cp:coreProperties>
</file>